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kewzz94j8xyc" w:id="0"/>
      <w:bookmarkEnd w:id="0"/>
      <w:r w:rsidDel="00000000" w:rsidR="00000000" w:rsidRPr="00000000">
        <w:rPr>
          <w:b w:val="1"/>
          <w:sz w:val="34"/>
          <w:szCs w:val="34"/>
          <w:rtl w:val="0"/>
        </w:rPr>
        <w:t xml:space="preserve">A </w:t>
      </w:r>
      <w:hyperlink r:id="rId5">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pBd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6">
        <w:r w:rsidDel="00000000" w:rsidR="00000000" w:rsidRPr="00000000">
          <w:rPr>
            <w:rtl w:val="0"/>
          </w:rPr>
          <w:t xml:space="preserve"> </w:t>
        </w:r>
      </w:hyperlink>
      <w:hyperlink r:id="rId7">
        <w:r w:rsidDel="00000000" w:rsidR="00000000" w:rsidRPr="00000000">
          <w:rPr>
            <w:color w:val="1155cc"/>
            <w:u w:val="single"/>
            <w:rtl w:val="0"/>
          </w:rPr>
          <w:t xml:space="preserve">alábbi linken</w:t>
        </w:r>
      </w:hyperlink>
      <w:r w:rsidDel="00000000" w:rsidR="00000000" w:rsidRPr="00000000">
        <w:rPr>
          <w:rtl w:val="0"/>
        </w:rPr>
        <w:t xml:space="preserve"> érhetők el.</w:t>
      </w:r>
    </w:p>
    <w:p w:rsidR="00000000" w:rsidDel="00000000" w:rsidP="00000000" w:rsidRDefault="00000000" w:rsidRPr="00000000">
      <w:pPr>
        <w:pBdr/>
        <w:contextualSpacing w:val="0"/>
        <w:rPr>
          <w:b w:val="1"/>
        </w:rPr>
      </w:pPr>
      <w:r w:rsidDel="00000000" w:rsidR="00000000" w:rsidRPr="00000000">
        <w:rPr>
          <w:b w:val="1"/>
          <w:rtl w:val="0"/>
        </w:rPr>
        <w:t xml:space="preserve">1. Általános rendelkezések</w:t>
      </w:r>
    </w:p>
    <w:p w:rsidR="00000000" w:rsidDel="00000000" w:rsidP="00000000" w:rsidRDefault="00000000" w:rsidRPr="00000000">
      <w:pPr>
        <w:pBd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pBd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pBd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pBd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pBd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2. A Szolgáltatás igénybevétele</w:t>
      </w:r>
    </w:p>
    <w:p w:rsidR="00000000" w:rsidDel="00000000" w:rsidP="00000000" w:rsidRDefault="00000000" w:rsidRPr="00000000">
      <w:pPr>
        <w:pBd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pBd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pBd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pBd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pBd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pBd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pBd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pBd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pBd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pBd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pBd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pBd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pBd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pBd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pBd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pBd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pBd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pBd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pBd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pBd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pBd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pBd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w:t>
      </w:r>
      <w:r w:rsidDel="00000000" w:rsidR="00000000" w:rsidRPr="00000000">
        <w:rPr>
          <w:b w:val="1"/>
          <w:rtl w:val="0"/>
        </w:rPr>
        <w:t xml:space="preserve">Használtautó Weboldal</w:t>
      </w:r>
      <w:r w:rsidDel="00000000" w:rsidR="00000000" w:rsidRPr="00000000">
        <w:rPr>
          <w:rtl w:val="0"/>
        </w:rPr>
        <w:t xml:space="preserve">)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rsidR="00000000" w:rsidDel="00000000" w:rsidP="00000000" w:rsidRDefault="00000000" w:rsidRPr="00000000">
      <w:pPr>
        <w:pBdr/>
        <w:contextualSpacing w:val="0"/>
        <w:rPr/>
      </w:pPr>
      <w:r w:rsidDel="00000000" w:rsidR="00000000" w:rsidRPr="00000000">
        <w:rPr>
          <w:rtl w:val="0"/>
        </w:rPr>
        <w:t xml:space="preserve">Amennyiben a Felhasználó egy adott hirdetés termékoldalát megnyitja, ezzel hozzájárul ahhoz, hogy a Felhasználó alábbi adatai továbbításra kerüljenek a Bank360 Szolgáltatás Összehasonlító Zrt. részére: IP cím, irányítószám, település, születési év.</w:t>
      </w:r>
    </w:p>
    <w:p w:rsidR="00000000" w:rsidDel="00000000" w:rsidP="00000000" w:rsidRDefault="00000000" w:rsidRPr="00000000">
      <w:pPr>
        <w:pBd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pBd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pBd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2">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pBd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pBd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pBd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pBd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pBd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pBd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pBdr/>
        <w:contextualSpacing w:val="0"/>
        <w:rPr>
          <w:b w:val="1"/>
        </w:rPr>
      </w:pPr>
      <w:r w:rsidDel="00000000" w:rsidR="00000000" w:rsidRPr="00000000">
        <w:rPr>
          <w:b w:val="1"/>
          <w:rtl w:val="0"/>
        </w:rPr>
        <w:t xml:space="preserve">(i) Automatikus előresorolás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rsidR="00000000" w:rsidDel="00000000" w:rsidP="00000000" w:rsidRDefault="00000000" w:rsidRPr="00000000">
      <w:pPr>
        <w:pBdr/>
        <w:contextualSpacing w:val="0"/>
        <w:rPr/>
      </w:pPr>
      <w:r w:rsidDel="00000000" w:rsidR="00000000" w:rsidRPr="00000000">
        <w:rPr>
          <w:rtl w:val="0"/>
        </w:rPr>
        <w:t xml:space="preserve">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pBdr/>
        <w:contextualSpacing w:val="0"/>
        <w:rPr/>
      </w:pPr>
      <w:r w:rsidDel="00000000" w:rsidR="00000000" w:rsidRPr="00000000">
        <w:rPr>
          <w:rtl w:val="0"/>
        </w:rPr>
        <w:t xml:space="preserve">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pBdr/>
        <w:contextualSpacing w:val="0"/>
        <w:rPr>
          <w:b w:val="1"/>
        </w:rPr>
      </w:pPr>
      <w:r w:rsidDel="00000000" w:rsidR="00000000" w:rsidRPr="00000000">
        <w:rPr>
          <w:b w:val="1"/>
          <w:rtl w:val="0"/>
        </w:rPr>
        <w:t xml:space="preserve">(ii) Kirakat kiemelés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rsidR="00000000" w:rsidDel="00000000" w:rsidP="00000000" w:rsidRDefault="00000000" w:rsidRPr="00000000">
      <w:pPr>
        <w:pBd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rsidR="00000000" w:rsidDel="00000000" w:rsidP="00000000" w:rsidRDefault="00000000" w:rsidRPr="00000000">
      <w:pPr>
        <w:pBdr/>
        <w:contextualSpacing w:val="0"/>
        <w:rPr/>
      </w:pPr>
      <w:r w:rsidDel="00000000" w:rsidR="00000000" w:rsidRPr="00000000">
        <w:rPr>
          <w:rtl w:val="0"/>
        </w:rPr>
        <w:t xml:space="preserve">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Bdr/>
        <w:contextualSpacing w:val="0"/>
        <w:rPr>
          <w:b w:val="1"/>
        </w:rPr>
      </w:pPr>
      <w:r w:rsidDel="00000000" w:rsidR="00000000" w:rsidRPr="00000000">
        <w:rPr>
          <w:b w:val="1"/>
          <w:rtl w:val="0"/>
        </w:rPr>
        <w:t xml:space="preserve">(iii) Szalag kiemelés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Bdr/>
        <w:contextualSpacing w:val="0"/>
        <w:rPr>
          <w:b w:val="1"/>
        </w:rPr>
      </w:pPr>
      <w:r w:rsidDel="00000000" w:rsidR="00000000" w:rsidRPr="00000000">
        <w:rPr>
          <w:b w:val="1"/>
          <w:rtl w:val="0"/>
        </w:rPr>
        <w:t xml:space="preserve">(iv) Azonnali előresorolás / Megújítás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Bd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pBd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az ezen a linken</w:t>
        </w:r>
      </w:hyperlink>
      <w:r w:rsidDel="00000000" w:rsidR="00000000" w:rsidRPr="00000000">
        <w:rPr>
          <w:u w:val="single"/>
          <w:rtl w:val="0"/>
        </w:rPr>
        <w:t xml:space="preserve"> </w:t>
      </w:r>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pBd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pBd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pBd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pBd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pBd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pBdr/>
        <w:contextualSpacing w:val="0"/>
        <w:rPr>
          <w:b w:val="1"/>
        </w:rPr>
      </w:pPr>
      <w:r w:rsidDel="00000000" w:rsidR="00000000" w:rsidRPr="00000000">
        <w:rPr>
          <w:b w:val="1"/>
          <w:rtl w:val="0"/>
        </w:rPr>
        <w:t xml:space="preserve">(ii) Kirakat kiemelés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Felhasználó feltöltött ingatlan-, állás- vagy autóhirdetése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 állás- vagy autóhirdetések véletlenszerűen jelennek meg a fenti módon, továbbá (b) az adott ingatlan-, állás- vagy autóhirdetés kategóriája szerinti lista első helyére sorolódik, az (v) pontban foglalt szabályok szerint. Amennyiben nincs a keresésnek megfelelő pontos találat, akkor egyéb kiemeléssel érintett hirdetések jelennek meg véletlenszerű kiválasztás alapján a fenti módon.</w:t>
      </w:r>
    </w:p>
    <w:p w:rsidR="00000000" w:rsidDel="00000000" w:rsidP="00000000" w:rsidRDefault="00000000" w:rsidRPr="00000000">
      <w:pPr>
        <w:pBd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pBd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rotálódást befolyásolja az érintett régióban a jelen Szolgáltatással érintett hirdetések száma. Az ingatlan-, állás- vagy autóhirdetés az országos listában véletlenszerűen rotálódik.</w:t>
      </w:r>
    </w:p>
    <w:p w:rsidR="00000000" w:rsidDel="00000000" w:rsidP="00000000" w:rsidRDefault="00000000" w:rsidRPr="00000000">
      <w:pPr>
        <w:pBdr/>
        <w:contextualSpacing w:val="0"/>
        <w:rPr/>
      </w:pPr>
      <w:r w:rsidDel="00000000" w:rsidR="00000000" w:rsidRPr="00000000">
        <w:rPr>
          <w:rtl w:val="0"/>
        </w:rPr>
        <w:t xml:space="preserve">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Bdr/>
        <w:contextualSpacing w:val="0"/>
        <w:rPr>
          <w:b w:val="1"/>
        </w:rPr>
      </w:pPr>
      <w:r w:rsidDel="00000000" w:rsidR="00000000" w:rsidRPr="00000000">
        <w:rPr>
          <w:b w:val="1"/>
          <w:rtl w:val="0"/>
        </w:rPr>
        <w:t xml:space="preserve">(iii) Szalag kiemelés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vagy autóhirdetések a Top hirdetést és a Kirakathirdetéseket követően, más kiemeléssel érintett vagy kiemelés nélkül feladott ingatlan-, állás- vagy autóhirdetéseket megelőzik a találati listában. Az előresorolt ingatlan-, állás- vagy autóhirdetést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Bd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Felhasználó a feltöltött ingatlan-, állás- vagy autóhirdetése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rsidR="00000000" w:rsidDel="00000000" w:rsidP="00000000" w:rsidRDefault="00000000" w:rsidRPr="00000000">
      <w:pPr>
        <w:pBdr/>
        <w:contextualSpacing w:val="0"/>
        <w:rPr/>
      </w:pPr>
      <w:r w:rsidDel="00000000" w:rsidR="00000000" w:rsidRPr="00000000">
        <w:rPr>
          <w:rtl w:val="0"/>
        </w:rPr>
        <w:t xml:space="preserve">Az Automatikus előresorolással előresorolt ingatlan-, állás- vagy autóhirdetést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pBd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Felhasználó feltöltött ingatlan-, állás- vagy autóhirdetése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Az Azonnali előresorolással előresorolt ingatlan-, állás- vagy autóhirdetést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Bdr/>
        <w:contextualSpacing w:val="0"/>
        <w:rPr>
          <w:b w:val="1"/>
        </w:rPr>
      </w:pPr>
      <w:r w:rsidDel="00000000" w:rsidR="00000000" w:rsidRPr="00000000">
        <w:rPr>
          <w:b w:val="1"/>
          <w:rtl w:val="0"/>
        </w:rPr>
        <w:t xml:space="preserve">(vi) Országos és Multirégiós Hirdetés </w:t>
      </w:r>
    </w:p>
    <w:p w:rsidR="00000000" w:rsidDel="00000000" w:rsidP="00000000" w:rsidRDefault="00000000" w:rsidRPr="00000000">
      <w:pPr>
        <w:pBdr/>
        <w:contextualSpacing w:val="0"/>
        <w:rPr/>
      </w:pPr>
      <w:r w:rsidDel="00000000" w:rsidR="00000000" w:rsidRPr="00000000">
        <w:rPr>
          <w:rtl w:val="0"/>
        </w:rPr>
        <w:t xml:space="preserve">A jelen pont szerinti Szolgáltatás megvásárlásával a Céges vagy Vállalati hirdetést feladó Felhasználó a feltöltött ingatlan-,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pBd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Business-Parcel</w:t>
        </w:r>
      </w:hyperlink>
      <w:r w:rsidDel="00000000" w:rsidR="00000000" w:rsidRPr="00000000">
        <w:rPr>
          <w:rtl w:val="0"/>
        </w:rPr>
        <w:t xml:space="preserve"> (küldemény súlya 5-40 kg-ig terjedhet) és</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pBd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pBd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pBd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pBd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pBd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pBd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pBd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pBd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pBd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pBd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pBd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pBd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pBd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pBd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pBd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pBd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pBd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pBd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pBd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pBd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pBd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pBd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pBd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vis major.</w:t>
      </w:r>
    </w:p>
    <w:p w:rsidR="00000000" w:rsidDel="00000000" w:rsidP="00000000" w:rsidRDefault="00000000" w:rsidRPr="00000000">
      <w:pPr>
        <w:pBd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25"/>
        </w:numPr>
        <w:pBd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25"/>
        </w:numPr>
        <w:pBd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pBd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pBd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pBd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pBd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pBd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pBd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pBd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pBd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pBd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pBd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pBd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pBd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pBd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linken érhető el</w:t>
        </w:r>
      </w:hyperlink>
      <w:r w:rsidDel="00000000" w:rsidR="00000000" w:rsidRPr="00000000">
        <w:rPr>
          <w:rtl w:val="0"/>
        </w:rPr>
        <w:t xml:space="preserve">.</w:t>
      </w:r>
    </w:p>
    <w:p w:rsidR="00000000" w:rsidDel="00000000" w:rsidP="00000000" w:rsidRDefault="00000000" w:rsidRPr="00000000">
      <w:pPr>
        <w:pBdr/>
        <w:contextualSpacing w:val="0"/>
        <w:rPr>
          <w:b w:val="1"/>
        </w:rPr>
      </w:pPr>
      <w:r w:rsidDel="00000000" w:rsidR="00000000" w:rsidRPr="00000000">
        <w:rPr>
          <w:b w:val="1"/>
          <w:rtl w:val="0"/>
        </w:rPr>
        <w:t xml:space="preserve">3. Hirdetési alapfeltételek</w:t>
      </w:r>
    </w:p>
    <w:p w:rsidR="00000000" w:rsidDel="00000000" w:rsidP="00000000" w:rsidRDefault="00000000" w:rsidRPr="00000000">
      <w:pPr>
        <w:pBd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pBd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pBd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pBd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pBd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pBd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pBd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pBd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pBd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pBd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pBd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pBd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pBd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pBd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pBd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pBd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netikett</w:t>
        </w:r>
      </w:hyperlink>
      <w:r w:rsidDel="00000000" w:rsidR="00000000" w:rsidRPr="00000000">
        <w:rPr>
          <w:rtl w:val="0"/>
        </w:rPr>
        <w:t xml:space="preserve"> irányelvei követendők.</w:t>
      </w:r>
    </w:p>
    <w:p w:rsidR="00000000" w:rsidDel="00000000" w:rsidP="00000000" w:rsidRDefault="00000000" w:rsidRPr="00000000">
      <w:pPr>
        <w:pBd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pBd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pBd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pBd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pBd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pBd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pBdr/>
        <w:contextualSpacing w:val="0"/>
        <w:rPr>
          <w:b w:val="1"/>
        </w:rPr>
      </w:pPr>
      <w:r w:rsidDel="00000000" w:rsidR="00000000" w:rsidRPr="00000000">
        <w:rPr>
          <w:b w:val="1"/>
          <w:rtl w:val="0"/>
        </w:rPr>
        <w:t xml:space="preserve">4. A Szolgáltatás nyújtásának megtagadása</w:t>
      </w:r>
    </w:p>
    <w:p w:rsidR="00000000" w:rsidDel="00000000" w:rsidP="00000000" w:rsidRDefault="00000000" w:rsidRPr="00000000">
      <w:pPr>
        <w:pBd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pBd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pBd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28"/>
        </w:numPr>
        <w:pBd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pBd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pBd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pBdr/>
        <w:contextualSpacing w:val="0"/>
        <w:rPr>
          <w:b w:val="1"/>
        </w:rPr>
      </w:pPr>
      <w:r w:rsidDel="00000000" w:rsidR="00000000" w:rsidRPr="00000000">
        <w:rPr>
          <w:b w:val="1"/>
          <w:rtl w:val="0"/>
        </w:rPr>
        <w:t xml:space="preserve">5. Felelősség</w:t>
      </w:r>
    </w:p>
    <w:p w:rsidR="00000000" w:rsidDel="00000000" w:rsidP="00000000" w:rsidRDefault="00000000" w:rsidRPr="00000000">
      <w:pPr>
        <w:pBd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pBd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pBd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pBd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pBd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pBd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pBd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pBd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pBdr/>
        <w:contextualSpacing w:val="0"/>
        <w:rPr>
          <w:b w:val="1"/>
        </w:rPr>
      </w:pPr>
      <w:r w:rsidDel="00000000" w:rsidR="00000000" w:rsidRPr="00000000">
        <w:rPr>
          <w:b w:val="1"/>
          <w:rtl w:val="0"/>
        </w:rPr>
        <w:t xml:space="preserve">6. Szerzői és szomszédos jogok</w:t>
      </w:r>
    </w:p>
    <w:p w:rsidR="00000000" w:rsidDel="00000000" w:rsidP="00000000" w:rsidRDefault="00000000" w:rsidRPr="00000000">
      <w:pPr>
        <w:pBd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pBd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pBd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pBd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pBdr/>
        <w:contextualSpacing w:val="0"/>
        <w:rPr>
          <w:b w:val="1"/>
        </w:rPr>
      </w:pPr>
      <w:r w:rsidDel="00000000" w:rsidR="00000000" w:rsidRPr="00000000">
        <w:rPr>
          <w:b w:val="1"/>
          <w:rtl w:val="0"/>
        </w:rPr>
        <w:t xml:space="preserve">7. Elállás és felmondás joga</w:t>
      </w:r>
    </w:p>
    <w:p w:rsidR="00000000" w:rsidDel="00000000" w:rsidP="00000000" w:rsidRDefault="00000000" w:rsidRPr="00000000">
      <w:pPr>
        <w:pBd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pBd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pBd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pBd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pBdr/>
        <w:contextualSpacing w:val="0"/>
        <w:rPr>
          <w:b w:val="1"/>
        </w:rPr>
      </w:pPr>
      <w:r w:rsidDel="00000000" w:rsidR="00000000" w:rsidRPr="00000000">
        <w:rPr>
          <w:b w:val="1"/>
          <w:rtl w:val="0"/>
        </w:rPr>
        <w:t xml:space="preserve">8. Fogyasztói panasz, Ügyfélszolgálat</w:t>
      </w:r>
    </w:p>
    <w:p w:rsidR="00000000" w:rsidDel="00000000" w:rsidP="00000000" w:rsidRDefault="00000000" w:rsidRPr="00000000">
      <w:pPr>
        <w:pBd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pBdr/>
        <w:contextualSpacing w:val="0"/>
        <w:rPr/>
      </w:pPr>
      <w:r w:rsidDel="00000000" w:rsidR="00000000" w:rsidRPr="00000000">
        <w:rPr>
          <w:rtl w:val="0"/>
        </w:rPr>
        <w:t xml:space="preserve">·   </w:t>
        <w:tab/>
        <w:t xml:space="preserve">telefonszám: +36 1 808 8288 és +36 1 408 8589</w:t>
      </w:r>
    </w:p>
    <w:p w:rsidR="00000000" w:rsidDel="00000000" w:rsidP="00000000" w:rsidRDefault="00000000" w:rsidRPr="00000000">
      <w:pPr>
        <w:pBdr/>
        <w:contextualSpacing w:val="0"/>
        <w:rPr/>
      </w:pPr>
      <w:r w:rsidDel="00000000" w:rsidR="00000000" w:rsidRPr="00000000">
        <w:rPr>
          <w:rtl w:val="0"/>
        </w:rPr>
        <w:t xml:space="preserve">·   </w:t>
        <w:tab/>
        <w:t xml:space="preserve">székhely, postacím és a panaszügyintézés helye:1134 Budapest, Váci út 49. III. emelet</w:t>
      </w:r>
    </w:p>
    <w:p w:rsidR="00000000" w:rsidDel="00000000" w:rsidP="00000000" w:rsidRDefault="00000000" w:rsidRPr="00000000">
      <w:pPr>
        <w:pBdr/>
        <w:contextualSpacing w:val="0"/>
        <w:rPr/>
      </w:pPr>
      <w:r w:rsidDel="00000000" w:rsidR="00000000" w:rsidRPr="00000000">
        <w:rPr>
          <w:rtl w:val="0"/>
        </w:rPr>
        <w:t xml:space="preserve">·   </w:t>
        <w:tab/>
        <w:t xml:space="preserve">elektronikus levelezési cím: ugyfelszolgalat@jofogas.hu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pBd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pBd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pBd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pBd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pBd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pBd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pBd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pBd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pBd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pBd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wp1j0sgarjr" w:id="1"/>
      <w:bookmarkEnd w:id="1"/>
      <w:r w:rsidDel="00000000" w:rsidR="00000000" w:rsidRPr="00000000">
        <w:rPr>
          <w:b w:val="1"/>
          <w:sz w:val="34"/>
          <w:szCs w:val="34"/>
          <w:rtl w:val="0"/>
        </w:rPr>
        <w:t xml:space="preserve"> Melléklet</w:t>
      </w:r>
    </w:p>
    <w:p w:rsidR="00000000" w:rsidDel="00000000" w:rsidP="00000000" w:rsidRDefault="00000000" w:rsidRPr="00000000">
      <w:pPr>
        <w:pBd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pBd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pBdr/>
        <w:contextualSpacing w:val="0"/>
        <w:rPr/>
      </w:pPr>
      <w:r w:rsidDel="00000000" w:rsidR="00000000" w:rsidRPr="00000000">
        <w:rPr>
          <w:rtl w:val="0"/>
        </w:rPr>
        <w:t xml:space="preserve">Címzett:</w:t>
      </w:r>
    </w:p>
    <w:p w:rsidR="00000000" w:rsidDel="00000000" w:rsidP="00000000" w:rsidRDefault="00000000" w:rsidRPr="00000000">
      <w:pPr>
        <w:pBd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pBd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pBdr/>
        <w:contextualSpacing w:val="0"/>
        <w:rPr/>
      </w:pPr>
      <w:r w:rsidDel="00000000" w:rsidR="00000000" w:rsidRPr="00000000">
        <w:rPr>
          <w:rtl w:val="0"/>
        </w:rPr>
        <w:t xml:space="preserve">A fogyasztó(k) neve:</w:t>
      </w:r>
    </w:p>
    <w:p w:rsidR="00000000" w:rsidDel="00000000" w:rsidP="00000000" w:rsidRDefault="00000000" w:rsidRPr="00000000">
      <w:pPr>
        <w:pBdr/>
        <w:contextualSpacing w:val="0"/>
        <w:rPr/>
      </w:pPr>
      <w:r w:rsidDel="00000000" w:rsidR="00000000" w:rsidRPr="00000000">
        <w:rPr>
          <w:rtl w:val="0"/>
        </w:rPr>
        <w:t xml:space="preserve">A fogyasztó(k) címe:</w:t>
      </w:r>
    </w:p>
    <w:p w:rsidR="00000000" w:rsidDel="00000000" w:rsidP="00000000" w:rsidRDefault="00000000" w:rsidRPr="00000000">
      <w:pPr>
        <w:pBd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pBdr/>
        <w:contextualSpacing w:val="0"/>
        <w:rPr/>
      </w:pPr>
      <w:r w:rsidDel="00000000" w:rsidR="00000000" w:rsidRPr="00000000">
        <w:rPr>
          <w:rtl w:val="0"/>
        </w:rPr>
        <w:t xml:space="preserve">Kelt</w:t>
      </w:r>
    </w:p>
    <w:p w:rsidR="00000000" w:rsidDel="00000000" w:rsidP="00000000" w:rsidRDefault="00000000" w:rsidRPr="00000000">
      <w:pPr>
        <w:pBd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29"/>
        </w:numPr>
        <w:pBd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pBd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11"/>
        </w:numPr>
        <w:pBd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pBd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pBdr/>
        <w:contextualSpacing w:val="0"/>
        <w:rPr/>
      </w:pPr>
      <w:r w:rsidDel="00000000" w:rsidR="00000000" w:rsidRPr="00000000">
        <w:rPr>
          <w:rtl w:val="0"/>
        </w:rPr>
        <w:t xml:space="preserve">telefonszáma: +36 1 808 8288 és +36 1 408 8589</w:t>
      </w:r>
    </w:p>
    <w:p w:rsidR="00000000" w:rsidDel="00000000" w:rsidP="00000000" w:rsidRDefault="00000000" w:rsidRPr="00000000">
      <w:pPr>
        <w:pBd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pBd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pBdr/>
        <w:contextualSpacing w:val="0"/>
        <w:rPr/>
      </w:pPr>
      <w:r w:rsidDel="00000000" w:rsidR="00000000" w:rsidRPr="00000000">
        <w:rPr>
          <w:rtl w:val="0"/>
        </w:rPr>
        <w:t xml:space="preserve">cégjegyzékszám: 01-09-926009</w:t>
      </w:r>
    </w:p>
    <w:p w:rsidR="00000000" w:rsidDel="00000000" w:rsidP="00000000" w:rsidRDefault="00000000" w:rsidRPr="00000000">
      <w:pPr>
        <w:pBd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7"/>
        </w:numPr>
        <w:pBd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pBdr/>
        <w:contextualSpacing w:val="0"/>
        <w:rPr/>
      </w:pPr>
      <w:r w:rsidDel="00000000" w:rsidR="00000000" w:rsidRPr="00000000">
        <w:rPr>
          <w:rtl w:val="0"/>
        </w:rPr>
        <w:t xml:space="preserve">Az árakról és egyéb költségekről a következő weboldalon:</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21"/>
        </w:numPr>
        <w:pBd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pBd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4"/>
        </w:numPr>
        <w:pBd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pBdr/>
        <w:contextualSpacing w:val="0"/>
        <w:rPr/>
      </w:pPr>
      <w:r w:rsidDel="00000000" w:rsidR="00000000" w:rsidRPr="00000000">
        <w:rPr>
          <w:rtl w:val="0"/>
        </w:rPr>
        <w:t xml:space="preserve">Nincs ilyen.</w:t>
      </w:r>
    </w:p>
    <w:p w:rsidR="00000000" w:rsidDel="00000000" w:rsidP="00000000" w:rsidRDefault="00000000" w:rsidRPr="00000000">
      <w:pPr>
        <w:numPr>
          <w:ilvl w:val="0"/>
          <w:numId w:val="9"/>
        </w:numPr>
        <w:pBd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pBd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15"/>
        </w:numPr>
        <w:pBd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pBd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pBdr/>
        <w:contextualSpacing w:val="0"/>
        <w:rPr>
          <w:b w:val="1"/>
        </w:rPr>
      </w:pPr>
      <w:r w:rsidDel="00000000" w:rsidR="00000000" w:rsidRPr="00000000">
        <w:rPr>
          <w:b w:val="1"/>
          <w:rtl w:val="0"/>
        </w:rPr>
        <w:t xml:space="preserve">Kellékszavatosság</w:t>
      </w:r>
    </w:p>
    <w:p w:rsidR="00000000" w:rsidDel="00000000" w:rsidP="00000000" w:rsidRDefault="00000000" w:rsidRPr="00000000">
      <w:pPr>
        <w:pBd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pBd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pBd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pBd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pBd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pBd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pBd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26"/>
        </w:numPr>
        <w:pBd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pBd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8"/>
        </w:numPr>
        <w:pBd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pBd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27"/>
        </w:numPr>
        <w:pBd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pBd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2"/>
        </w:numPr>
        <w:pBd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pBdr/>
        <w:contextualSpacing w:val="0"/>
        <w:rPr/>
      </w:pPr>
      <w:r w:rsidDel="00000000" w:rsidR="00000000" w:rsidRPr="00000000">
        <w:rPr>
          <w:rtl w:val="0"/>
        </w:rPr>
        <w:t xml:space="preserve">Nincs ilyen eset.</w:t>
      </w:r>
    </w:p>
    <w:p w:rsidR="00000000" w:rsidDel="00000000" w:rsidP="00000000" w:rsidRDefault="00000000" w:rsidRPr="00000000">
      <w:pPr>
        <w:numPr>
          <w:ilvl w:val="0"/>
          <w:numId w:val="12"/>
        </w:numPr>
        <w:pBd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pBd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19"/>
        </w:numPr>
        <w:pBd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pBdr/>
        <w:contextualSpacing w:val="0"/>
        <w:rPr/>
      </w:pPr>
      <w:r w:rsidDel="00000000" w:rsidR="00000000" w:rsidRPr="00000000">
        <w:rPr>
          <w:rtl w:val="0"/>
        </w:rPr>
        <w:t xml:space="preserve">Nincs.</w:t>
      </w:r>
    </w:p>
    <w:p w:rsidR="00000000" w:rsidDel="00000000" w:rsidP="00000000" w:rsidRDefault="00000000" w:rsidRPr="00000000">
      <w:pPr>
        <w:numPr>
          <w:ilvl w:val="0"/>
          <w:numId w:val="20"/>
        </w:numPr>
        <w:pBd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pBd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10"/>
        </w:numPr>
        <w:pBd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pBd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3"/>
        </w:numPr>
        <w:pBd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pBd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24"/>
        </w:numPr>
        <w:pBd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pBd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pBd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pBdr/>
        <w:contextualSpacing w:val="0"/>
        <w:rPr>
          <w:b w:val="1"/>
        </w:rPr>
      </w:pPr>
      <w:r w:rsidDel="00000000" w:rsidR="00000000" w:rsidRPr="00000000">
        <w:rPr>
          <w:b w:val="1"/>
          <w:rtl w:val="0"/>
        </w:rPr>
        <w:t xml:space="preserve">Utolsó módosítás időpontja: 2017.06.07.</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ls-group.eu/HU/hu/csomagkuldes/kiscsomag-szallitas" TargetMode="External"/><Relationship Id="rId22" Type="http://schemas.openxmlformats.org/officeDocument/2006/relationships/hyperlink" Target="http://www.homedt.hu/doc/aszf.pdf" TargetMode="External"/><Relationship Id="rId21" Type="http://schemas.openxmlformats.org/officeDocument/2006/relationships/hyperlink" Target="http://www.homedt.hu/doc/aszf.pdf" TargetMode="External"/><Relationship Id="rId24" Type="http://schemas.openxmlformats.org/officeDocument/2006/relationships/hyperlink" Target="http://docs.jofogas.hu/zart-csoportok-felhasznaloi-szab/" TargetMode="External"/><Relationship Id="rId23" Type="http://schemas.openxmlformats.org/officeDocument/2006/relationships/hyperlink" Target="http://docs.jofogas.hu/zart-csoportok-felhasznaloi-sza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6" Type="http://schemas.openxmlformats.org/officeDocument/2006/relationships/hyperlink" Target="http://docs.jofogas.hu/mukodesi-szabalyzat-kiegeszites/" TargetMode="External"/><Relationship Id="rId25" Type="http://schemas.openxmlformats.org/officeDocument/2006/relationships/hyperlink" Target="http://docs.jofogas.hu/mukodesi-szabalyzat-kiegeszites/" TargetMode="External"/><Relationship Id="rId28" Type="http://schemas.openxmlformats.org/officeDocument/2006/relationships/hyperlink" Target="http://www.jofogas.hu" TargetMode="External"/><Relationship Id="rId27" Type="http://schemas.openxmlformats.org/officeDocument/2006/relationships/hyperlink" Target="http://www.jofogas.hu" TargetMode="Externa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29" Type="http://schemas.openxmlformats.org/officeDocument/2006/relationships/hyperlink" Target="http://hu.wikipedia.org/wiki/Netikett"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31" Type="http://schemas.openxmlformats.org/officeDocument/2006/relationships/hyperlink" Target="http://ugyfelszolgalat.jofogas.hu/customer/portal/articles/1530098" TargetMode="External"/><Relationship Id="rId30" Type="http://schemas.openxmlformats.org/officeDocument/2006/relationships/hyperlink" Target="http://hu.wikipedia.org/wiki/Netikett" TargetMode="External"/><Relationship Id="rId11" Type="http://schemas.openxmlformats.org/officeDocument/2006/relationships/hyperlink" Target="http://www.hasznaltauto.hu/aszf" TargetMode="External"/><Relationship Id="rId33" Type="http://schemas.openxmlformats.org/officeDocument/2006/relationships/hyperlink" Target="http://jarasinfo.gov.hu/" TargetMode="External"/><Relationship Id="rId10" Type="http://schemas.openxmlformats.org/officeDocument/2006/relationships/hyperlink" Target="http://www.hasznaltauto.hu/aszf" TargetMode="External"/><Relationship Id="rId32" Type="http://schemas.openxmlformats.org/officeDocument/2006/relationships/hyperlink" Target="http://ugyfelszolgalat.jofogas.hu/customer/portal/articles/1530098" TargetMode="External"/><Relationship Id="rId13" Type="http://schemas.openxmlformats.org/officeDocument/2006/relationships/hyperlink" Target="http://www.barion.hu" TargetMode="External"/><Relationship Id="rId35" Type="http://schemas.openxmlformats.org/officeDocument/2006/relationships/hyperlink" Target="http://goo.gl/oRwSZW" TargetMode="External"/><Relationship Id="rId12" Type="http://schemas.openxmlformats.org/officeDocument/2006/relationships/hyperlink" Target="https://www.otpbank.hu/static/portal/sw/file/internetes_fizetofelulet_bemutatasa.pdf" TargetMode="External"/><Relationship Id="rId34" Type="http://schemas.openxmlformats.org/officeDocument/2006/relationships/hyperlink" Target="http://jarasinfo.gov.hu/"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36" Type="http://schemas.openxmlformats.org/officeDocument/2006/relationships/hyperlink" Target="http://goo.gl/oRwSZW" TargetMode="External"/><Relationship Id="rId17" Type="http://schemas.openxmlformats.org/officeDocument/2006/relationships/hyperlink" Target="https://gls-group.eu/HU/hu/csomagkuldes/belfoldi-csomagszallitas" TargetMode="External"/><Relationship Id="rId16" Type="http://schemas.openxmlformats.org/officeDocument/2006/relationships/hyperlink" Target="http://docs.jofogas.hu/mukodesi-szabalyzat-kiegeszites/" TargetMode="External"/><Relationship Id="rId19" Type="http://schemas.openxmlformats.org/officeDocument/2006/relationships/hyperlink" Target="https://gls-group.eu/HU/hu/csomagkuldes/kiscsomag-szallitas" TargetMode="External"/><Relationship Id="rId18" Type="http://schemas.openxmlformats.org/officeDocument/2006/relationships/hyperlink" Target="https://gls-group.eu/HU/hu/csomagkuldes/belfoldi-csomagszallitas" TargetMode="External"/></Relationships>
</file>